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37</w:t>
      </w:r>
    </w:p>
    <w:p>
      <w:r>
        <w:t>Bundesgericht (BGE), 1978-07-11, FR</w:t>
      </w:r>
    </w:p>
    <w:p>
      <w:r>
        <w:rPr>
          <w:b/>
        </w:rPr>
        <w:t xml:space="preserve">Quelle: </w:t>
      </w:r>
      <w:r>
        <w:t>https://mcp.opencaselaw.ch/entscheid/bge_104 III 37</w:t>
      </w:r>
    </w:p>
    <w:p>
      <w:r>
        <w:t>FR: ATF 104 III 37</w:t>
      </w:r>
    </w:p>
    <w:p>
      <w:r>
        <w:t>IT: DTF 104 III 37</w:t>
      </w:r>
    </w:p>
    <w:p>
      <w:pPr>
        <w:pStyle w:val="Heading2"/>
      </w:pPr>
      <w:r>
        <w:t>Regeste</w:t>
      </w:r>
    </w:p>
    <w:p>
      <w:r>
        <w:t>Regeste Art. 173 Abs. 1 ZGB. Ist einem Ehegatten hinsichtlich der Vermögensstücke des im Ausland wohnenden andern Ehegatten der Arrest bewilligt worden, hat das Betreibungsamt diesen zu vollziehen, ohne zu prüfen, ob er Art. 173 ZGB verletze (Bestätigung der Rechtsprechung).</w:t>
      </w:r>
    </w:p>
    <w:p>
      <w:pPr>
        <w:pStyle w:val="Heading2"/>
      </w:pPr>
      <w:r>
        <w:t>Erwägungen</w:t>
      </w:r>
    </w:p>
    <w:p>
      <w:r>
        <w:rPr>
          <w:b/>
        </w:rPr>
        <w:t>E. 1</w:t>
      </w:r>
    </w:p>
    <w:p>
      <w:r>
        <w:t>Comme devant l'autorité cantonale, le recourant invoque l' art. 173 al. 1 CC , aux termes duquel les époux ne peuvent pendant le mariage requérir l'exécution forcée l'un contre l'autre que dans les cas prévus par la loi. Ce moyen doit être examiné dans la procédure de plainte (LEMP, n. 17 ad 173 CC et les références).</w:t>
      </w:r>
    </w:p>
    <w:p>
      <w:r>
        <w:rPr>
          <w:b/>
        </w:rPr>
        <w:t>E. 2</w:t>
      </w:r>
    </w:p>
    <w:p>
      <w:r>
        <w:t>Selon la jurisprudence fédérale, lorsqu'un séquestre a été obtenu par un époux sur les biens de son conjoint domicilié à l'étranger, le préposé aux poursuites doit l'exécuter sans rechercher s'il viole l' art. 173 CC ( ATF 79 III 139 /140). C'est en vertu de ce principe que l'autorité cantonale a rejeté la plainte. Le recourant insiste sur le caractère exceptionnel de la dérogation à l'interdiction de l' art. 173 CC : il relève que, d'après le Tribunal fédéral, pour qu'un époux dont le conjoint est domicilié à l'étranger soit recevable à faire séquestrer les biens dudit qui se trouvent en Suisse, il faut qu'il soit menacé dans ses droits de créancier par une mesure semblable de la part de tiers sur ces biens et qu'il n'ait pas la possibilité de participer à une saisie selon les art. 174 CC et 111 LP ( ATF 92 III 5 ). Mais on ne saurait exiger du préposé aux poursuites qu'il contrôle si tel est le cas: organe d'exécution subordonné à l'autorité de séquestre, il n'a pas à examiner le bien-fondé d'une ordonnance de séquestre ( ATF 79 III 140 , ATF 66 III 73 consid. 1, ATF 64 III 128 /129). L'autorité cantonale a donc correctement appliqué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